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5670"/>
          <w:tab w:val="right" w:leader="none" w:pos="10206"/>
        </w:tabs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COMPANY NAME:</w:t>
        <w:tab/>
      </w:r>
      <w:r w:rsidDel="00000000" w:rsidR="00000000" w:rsidRPr="00000000">
        <w:rPr>
          <w:rFonts w:ascii="Avenir" w:cs="Avenir" w:eastAsia="Avenir" w:hAnsi="Avenir"/>
          <w:rtl w:val="0"/>
        </w:rPr>
        <w:t xml:space="preserve">Auditor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8220.472440944883"/>
          <w:tab w:val="left" w:leader="none" w:pos="5670"/>
          <w:tab w:val="right" w:leader="none" w:pos="10206"/>
        </w:tabs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DIVISION OR SITE:</w:t>
        <w:tab/>
      </w:r>
      <w:r w:rsidDel="00000000" w:rsidR="00000000" w:rsidRPr="00000000">
        <w:rPr>
          <w:rFonts w:ascii="Avenir" w:cs="Avenir" w:eastAsia="Avenir" w:hAnsi="Avenir"/>
          <w:rtl w:val="0"/>
        </w:rPr>
        <w:t xml:space="preserve">Audit d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ate: </w:t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5670"/>
          <w:tab w:val="right" w:leader="none" w:pos="10206"/>
        </w:tabs>
        <w:rPr/>
      </w:pPr>
      <w:bookmarkStart w:colFirst="0" w:colLast="0" w:name="_3rm5suitufn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tabs>
          <w:tab w:val="left" w:leader="none" w:pos="5670"/>
          <w:tab w:val="right" w:leader="none" w:pos="10206"/>
        </w:tabs>
        <w:rPr/>
      </w:pPr>
      <w:bookmarkStart w:colFirst="0" w:colLast="0" w:name="_acmpyr1q9ktg" w:id="1"/>
      <w:bookmarkEnd w:id="1"/>
      <w:r w:rsidDel="00000000" w:rsidR="00000000" w:rsidRPr="00000000">
        <w:rPr>
          <w:rtl w:val="0"/>
        </w:rPr>
        <w:t xml:space="preserve">SCOPE OF AUDIT: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70"/>
          <w:tab w:val="right" w:leader="none" w:pos="10206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tabs>
          <w:tab w:val="left" w:leader="none" w:pos="5670"/>
          <w:tab w:val="right" w:leader="none" w:pos="10206"/>
        </w:tabs>
        <w:rPr/>
      </w:pPr>
      <w:bookmarkStart w:colFirst="0" w:colLast="0" w:name="_z9e2qmg61nh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tabs>
          <w:tab w:val="left" w:leader="none" w:pos="5670"/>
          <w:tab w:val="right" w:leader="none" w:pos="10206"/>
        </w:tabs>
        <w:rPr/>
      </w:pPr>
      <w:bookmarkStart w:colFirst="0" w:colLast="0" w:name="_9h8cqrli2zsx" w:id="3"/>
      <w:bookmarkEnd w:id="3"/>
      <w:r w:rsidDel="00000000" w:rsidR="00000000" w:rsidRPr="00000000">
        <w:rPr>
          <w:rtl w:val="0"/>
        </w:rPr>
        <w:t xml:space="preserve">OBJECTIVES OF AUDIT: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tabs>
          <w:tab w:val="left" w:leader="none" w:pos="5670"/>
          <w:tab w:val="right" w:leader="none" w:pos="10206"/>
        </w:tabs>
        <w:spacing w:after="0" w:afterAutospacing="0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Identify opportunities to reduce resource usage throughout the value chain and/or product lifecycle.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tabs>
          <w:tab w:val="left" w:leader="none" w:pos="5670"/>
          <w:tab w:val="right" w:leader="none" w:pos="10206"/>
        </w:tabs>
        <w:spacing w:before="0" w:beforeAutospacing="0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Identify opportunities to avoid, re-use, or recycle waste streams.</w:t>
      </w:r>
    </w:p>
    <w:p w:rsidR="00000000" w:rsidDel="00000000" w:rsidP="00000000" w:rsidRDefault="00000000" w:rsidRPr="00000000" w14:paraId="0000000A">
      <w:pPr>
        <w:pStyle w:val="Heading1"/>
        <w:pageBreakBefore w:val="0"/>
        <w:tabs>
          <w:tab w:val="left" w:leader="none" w:pos="5670"/>
          <w:tab w:val="right" w:leader="none" w:pos="10206"/>
        </w:tabs>
        <w:rPr/>
      </w:pPr>
      <w:bookmarkStart w:colFirst="0" w:colLast="0" w:name="_kh1aplxygxr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ageBreakBefore w:val="0"/>
        <w:tabs>
          <w:tab w:val="left" w:leader="none" w:pos="5670"/>
          <w:tab w:val="right" w:leader="none" w:pos="10206"/>
        </w:tabs>
        <w:rPr/>
      </w:pPr>
      <w:bookmarkStart w:colFirst="0" w:colLast="0" w:name="_xq1206s9ck5h" w:id="5"/>
      <w:bookmarkEnd w:id="5"/>
      <w:r w:rsidDel="00000000" w:rsidR="00000000" w:rsidRPr="00000000">
        <w:rPr>
          <w:rtl w:val="0"/>
        </w:rPr>
        <w:t xml:space="preserve">CRITERIA FOR ASSESSMENT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5670"/>
          <w:tab w:val="right" w:leader="none" w:pos="10206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tabs>
          <w:tab w:val="left" w:leader="none" w:pos="720"/>
          <w:tab w:val="left" w:leader="none" w:pos="6946"/>
        </w:tabs>
        <w:jc w:val="left"/>
        <w:rPr>
          <w:rFonts w:ascii="Avenir" w:cs="Avenir" w:eastAsia="Avenir" w:hAnsi="Avenir"/>
          <w:vertAlign w:val="baseline"/>
        </w:rPr>
      </w:pPr>
      <w:bookmarkStart w:colFirst="0" w:colLast="0" w:name="_taxjgce3tkk3" w:id="6"/>
      <w:bookmarkEnd w:id="6"/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ab/>
      </w:r>
    </w:p>
    <w:tbl>
      <w:tblPr>
        <w:tblStyle w:val="Table1"/>
        <w:tblW w:w="9675.0" w:type="dxa"/>
        <w:jc w:val="left"/>
        <w:tblInd w:w="20.0" w:type="dxa"/>
        <w:tblLayout w:type="fixed"/>
        <w:tblLook w:val="0400"/>
      </w:tblPr>
      <w:tblGrid>
        <w:gridCol w:w="1245"/>
        <w:gridCol w:w="5400"/>
        <w:gridCol w:w="3030"/>
        <w:tblGridChange w:id="0">
          <w:tblGrid>
            <w:gridCol w:w="1245"/>
            <w:gridCol w:w="5400"/>
            <w:gridCol w:w="303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TIME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leader="none" w:pos="720"/>
                <w:tab w:val="left" w:leader="none" w:pos="6946"/>
              </w:tabs>
              <w:spacing w:after="0" w:before="0" w:lineRule="auto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FUNCTION OR PROCESS</w:t>
            </w:r>
          </w:p>
        </w:tc>
        <w:tc>
          <w:tcPr>
            <w:tcBorders>
              <w:left w:color="000000" w:space="0" w:sz="0" w:val="nil"/>
              <w:bottom w:color="000000" w:space="0" w:sz="4" w:val="dotted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leader="none" w:pos="720"/>
                <w:tab w:val="left" w:leader="none" w:pos="6946"/>
              </w:tabs>
              <w:spacing w:after="0" w:before="0" w:lineRule="auto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AUDITEE(S)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Entry Meeting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  <w:t xml:space="preserve">As stated on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9.15AM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aste survey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11.15AM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of wastes and origins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11.30AM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Waste management procedures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12.30PM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break (as time allows)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0PM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 audit 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2.00PM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 audit 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  <w:t xml:space="preserve">2.30PM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 audit 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3.00PM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 audit 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Auditor preparation for exit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  <w:t xml:space="preserve">3.45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PM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Exit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  <w:t xml:space="preserve">As stated on Agenda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tabs>
          <w:tab w:val="left" w:leader="none" w:pos="8647"/>
          <w:tab w:val="left" w:leader="none" w:pos="9923"/>
        </w:tabs>
        <w:spacing w:after="0" w:before="20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NOTES:</w:t>
      </w:r>
    </w:p>
    <w:p w:rsidR="00000000" w:rsidDel="00000000" w:rsidP="00000000" w:rsidRDefault="00000000" w:rsidRPr="00000000" w14:paraId="00000033">
      <w:pPr>
        <w:pageBreakBefore w:val="0"/>
        <w:tabs>
          <w:tab w:val="left" w:leader="none" w:pos="8647"/>
          <w:tab w:val="left" w:leader="none" w:pos="9923"/>
        </w:tabs>
        <w:spacing w:after="0" w:before="20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  <w:t xml:space="preserve">Additional processes for audit will be identified and agreed with Auditee at audit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425.1968503937008" w:top="1417.3228346456694" w:left="1133.8582677165355" w:right="1133.8582677165355" w:header="709" w:footer="35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rial" w:cs="Arial" w:eastAsia="Arial" w:hAnsi="Arial"/>
        <w:color w:val="80808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BREP Site Observation Checklist  </w:t>
    </w: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|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  Page 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© 2018 Business Action Learning Tasmania Ltd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  <w:color w:val="80808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COMMERCIAL IN CONFIDENCE BREP Audit Plan |  Page </w:t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 of </w:t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  <w:color w:val="80808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© 2018 Business Action Learning Tasmania Ltd ALL RIGHTS RESERVED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>
        <w:rFonts w:ascii="Avenir" w:cs="Avenir" w:eastAsia="Avenir" w:hAnsi="Avenir"/>
      </w:rPr>
    </w:pPr>
    <w:r w:rsidDel="00000000" w:rsidR="00000000" w:rsidRPr="00000000">
      <w:rPr>
        <w:rFonts w:ascii="Avenir" w:cs="Avenir" w:eastAsia="Avenir" w:hAnsi="Avenir"/>
        <w:rtl w:val="0"/>
      </w:rPr>
      <w:t xml:space="preserve">BUSINESS RESOURCE EFFICIENCY PROGRAM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5332275</wp:posOffset>
          </wp:positionH>
          <wp:positionV relativeFrom="paragraph">
            <wp:posOffset>-247649</wp:posOffset>
          </wp:positionV>
          <wp:extent cx="792798" cy="785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798" cy="785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Style w:val="Title"/>
      <w:pageBreakBefore w:val="0"/>
      <w:tabs>
        <w:tab w:val="left" w:leader="none" w:pos="720"/>
      </w:tabs>
      <w:spacing w:before="0" w:lineRule="auto"/>
      <w:rPr>
        <w:rFonts w:ascii="Avenir" w:cs="Avenir" w:eastAsia="Avenir" w:hAnsi="Avenir"/>
      </w:rPr>
    </w:pPr>
    <w:bookmarkStart w:colFirst="0" w:colLast="0" w:name="_y8xzooc7eya" w:id="7"/>
    <w:bookmarkEnd w:id="7"/>
    <w:r w:rsidDel="00000000" w:rsidR="00000000" w:rsidRPr="00000000">
      <w:rPr>
        <w:rFonts w:ascii="Avenir" w:cs="Avenir" w:eastAsia="Avenir" w:hAnsi="Avenir"/>
        <w:rtl w:val="0"/>
      </w:rPr>
      <w:t xml:space="preserve">AUDIT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lang w:val="en-AU"/>
      </w:rPr>
    </w:rPrDefault>
    <w:pPrDefault>
      <w:pPr>
        <w:tabs>
          <w:tab w:val="left" w:leader="none" w:pos="5670"/>
          <w:tab w:val="right" w:leader="none" w:pos="10206"/>
        </w:tabs>
        <w:spacing w:after="1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tabs>
        <w:tab w:val="left" w:leader="none" w:pos="5670"/>
        <w:tab w:val="right" w:leader="none" w:pos="10206"/>
      </w:tabs>
    </w:pPr>
    <w:rPr>
      <w:b w:val="1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tabs>
        <w:tab w:val="left" w:leader="none" w:pos="720"/>
      </w:tabs>
      <w:spacing w:after="120" w:before="480" w:lineRule="auto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DE0C79AC8DA4FAD246B7A26C011FA" ma:contentTypeVersion="15" ma:contentTypeDescription="Create a new document." ma:contentTypeScope="" ma:versionID="7c1c666be3825c2cdddae20bf53cb486">
  <xsd:schema xmlns:xsd="http://www.w3.org/2001/XMLSchema" xmlns:xs="http://www.w3.org/2001/XMLSchema" xmlns:p="http://schemas.microsoft.com/office/2006/metadata/properties" xmlns:ns2="9af2d00d-e4a2-4013-b46a-59b6ba21cd5b" xmlns:ns3="5b0480b3-31ca-4825-896a-5956c23cad47" targetNamespace="http://schemas.microsoft.com/office/2006/metadata/properties" ma:root="true" ma:fieldsID="04551fdd70a0f7875165a9dc9a2ebe5f" ns2:_="" ns3:_="">
    <xsd:import namespace="9af2d00d-e4a2-4013-b46a-59b6ba21cd5b"/>
    <xsd:import namespace="5b0480b3-31ca-4825-896a-5956c23c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d00d-e4a2-4013-b46a-59b6ba21c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e6ebe74-bf33-47d4-b4de-bcfcfdddd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480b3-31ca-4825-896a-5956c23cad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4619c9-9d06-45b1-83cc-4c11118d8e23}" ma:internalName="TaxCatchAll" ma:showField="CatchAllData" ma:web="5b0480b3-31ca-4825-896a-5956c23ca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f2d00d-e4a2-4013-b46a-59b6ba21cd5b">
      <Terms xmlns="http://schemas.microsoft.com/office/infopath/2007/PartnerControls"/>
    </lcf76f155ced4ddcb4097134ff3c332f>
    <TaxCatchAll xmlns="5b0480b3-31ca-4825-896a-5956c23cad47" xsi:nil="true"/>
    <SharedWithUsers xmlns="5b0480b3-31ca-4825-896a-5956c23cad4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3B10C0-802A-462B-B68D-E8D8ECDC72CC}"/>
</file>

<file path=customXml/itemProps2.xml><?xml version="1.0" encoding="utf-8"?>
<ds:datastoreItem xmlns:ds="http://schemas.openxmlformats.org/officeDocument/2006/customXml" ds:itemID="{823D92CD-47A7-4B48-A17E-5FE1EACD931A}"/>
</file>

<file path=customXml/itemProps3.xml><?xml version="1.0" encoding="utf-8"?>
<ds:datastoreItem xmlns:ds="http://schemas.openxmlformats.org/officeDocument/2006/customXml" ds:itemID="{10117183-74AD-4ED7-97B5-1134B1C2C6C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0x01010092072A165D1A244D95E4B1EF9D08026D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